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D2" w:rsidRDefault="00F90AC8" w:rsidP="002D75EA">
      <w:pPr>
        <w:pStyle w:val="berschrift1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28115" cy="1071245"/>
            <wp:effectExtent l="19050" t="0" r="635" b="0"/>
            <wp:wrapSquare wrapText="bothSides"/>
            <wp:docPr id="1" name="Grafik 0" descr="82343_web_R_by_bernhard_pixler_pixelio.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343_web_R_by_bernhard_pixler_pixelio.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AF0">
        <w:t xml:space="preserve"> „Sterben, To</w:t>
      </w:r>
      <w:r w:rsidR="002D75EA">
        <w:t>d</w:t>
      </w:r>
      <w:r w:rsidR="00F05AF0">
        <w:t xml:space="preserve"> und Trauer in der Altenpflege</w:t>
      </w:r>
      <w:r w:rsidR="002D75EA">
        <w:t>“</w:t>
      </w:r>
    </w:p>
    <w:p w:rsidR="00F90AC8" w:rsidRPr="00F90AC8" w:rsidRDefault="00F90AC8" w:rsidP="00F90AC8">
      <w:pPr>
        <w:pStyle w:val="berschrift1"/>
      </w:pPr>
      <w:r>
        <w:t xml:space="preserve">Der Aufgabenkatalog </w:t>
      </w:r>
    </w:p>
    <w:p w:rsidR="00F90AC8" w:rsidRPr="00F90AC8" w:rsidRDefault="00F90AC8" w:rsidP="00847712">
      <w:pPr>
        <w:pStyle w:val="berschrift2"/>
        <w:ind w:firstLine="708"/>
        <w:jc w:val="right"/>
        <w:rPr>
          <w:rFonts w:asciiTheme="minorHAnsi" w:hAnsiTheme="minorHAnsi"/>
          <w:b w:val="0"/>
          <w:color w:val="auto"/>
          <w:sz w:val="12"/>
        </w:rPr>
      </w:pPr>
      <w:r w:rsidRPr="00F90AC8">
        <w:rPr>
          <w:rFonts w:asciiTheme="minorHAnsi" w:hAnsiTheme="minorHAnsi"/>
          <w:b w:val="0"/>
          <w:color w:val="auto"/>
          <w:sz w:val="12"/>
        </w:rPr>
        <w:t xml:space="preserve">Grafik: Bernhard </w:t>
      </w:r>
      <w:proofErr w:type="spellStart"/>
      <w:r w:rsidRPr="00F90AC8">
        <w:rPr>
          <w:rFonts w:asciiTheme="minorHAnsi" w:hAnsiTheme="minorHAnsi"/>
          <w:b w:val="0"/>
          <w:color w:val="auto"/>
          <w:sz w:val="12"/>
        </w:rPr>
        <w:t>pixler</w:t>
      </w:r>
      <w:proofErr w:type="spellEnd"/>
      <w:r w:rsidRPr="00F90AC8">
        <w:rPr>
          <w:rFonts w:asciiTheme="minorHAnsi" w:hAnsiTheme="minorHAnsi"/>
          <w:b w:val="0"/>
          <w:color w:val="auto"/>
          <w:sz w:val="12"/>
        </w:rPr>
        <w:t>/pixelio.de</w:t>
      </w:r>
    </w:p>
    <w:p w:rsidR="00F05AF0" w:rsidRDefault="00F05AF0" w:rsidP="002D75EA">
      <w:pPr>
        <w:pStyle w:val="berschrift2"/>
      </w:pPr>
      <w:r>
        <w:t>A</w:t>
      </w:r>
      <w:r>
        <w:tab/>
        <w:t>Auf mich selbst achten</w:t>
      </w:r>
    </w:p>
    <w:p w:rsidR="002D75EA" w:rsidRDefault="002D75EA" w:rsidP="00F05AF0">
      <w:pPr>
        <w:ind w:left="705" w:hanging="705"/>
      </w:pPr>
    </w:p>
    <w:p w:rsidR="00F05AF0" w:rsidRPr="00F90AC8" w:rsidRDefault="00F05AF0" w:rsidP="00F05AF0">
      <w:pPr>
        <w:ind w:left="705" w:hanging="705"/>
        <w:rPr>
          <w:color w:val="4F81BD" w:themeColor="accent1"/>
        </w:rPr>
      </w:pPr>
      <w:r w:rsidRPr="002D75EA">
        <w:rPr>
          <w:b/>
          <w:color w:val="4F81BD" w:themeColor="accent1"/>
        </w:rPr>
        <w:t>A 1</w:t>
      </w:r>
      <w:r>
        <w:t xml:space="preserve"> </w:t>
      </w:r>
      <w:r>
        <w:tab/>
        <w:t>„Abstand gewinnen!“</w:t>
      </w:r>
      <w:r w:rsidR="00847712">
        <w:t>:</w:t>
      </w:r>
      <w:r>
        <w:t xml:space="preserve"> Wie kann ich verhindern, dass belastende Erlebnisse mich in der Freizeit zu sehr beschäftigen? </w:t>
      </w:r>
      <w:r w:rsidRPr="00F90AC8">
        <w:rPr>
          <w:color w:val="4F81BD" w:themeColor="accent1"/>
        </w:rPr>
        <w:t>(Handlungsprodukt: „Entspannungskiste“)</w:t>
      </w:r>
    </w:p>
    <w:p w:rsidR="00F05AF0" w:rsidRDefault="00F05AF0" w:rsidP="00F05AF0">
      <w:pPr>
        <w:ind w:left="705" w:hanging="705"/>
      </w:pPr>
      <w:r w:rsidRPr="00847712">
        <w:rPr>
          <w:b/>
        </w:rPr>
        <w:t>A 2</w:t>
      </w:r>
      <w:r>
        <w:tab/>
        <w:t>„Professionell handeln – aber wie?“</w:t>
      </w:r>
      <w:r w:rsidR="00847712">
        <w:t>:</w:t>
      </w:r>
      <w:r>
        <w:t xml:space="preserve"> Wie kann ich mich in einer besonders schwierigen Situation angemessen verhalten? </w:t>
      </w:r>
    </w:p>
    <w:p w:rsidR="00F05AF0" w:rsidRDefault="00F05AF0" w:rsidP="00F05AF0">
      <w:pPr>
        <w:ind w:left="705" w:hanging="705"/>
      </w:pPr>
      <w:r w:rsidRPr="00847712">
        <w:rPr>
          <w:b/>
        </w:rPr>
        <w:t>A 3</w:t>
      </w:r>
      <w:r>
        <w:tab/>
        <w:t>„Sehen wir uns wieder?“</w:t>
      </w:r>
      <w:r w:rsidR="00847712">
        <w:t>:</w:t>
      </w:r>
      <w:r>
        <w:t xml:space="preserve"> Wie gestalte ich Abschiedssituationen, wenn es auf das Ende zugeht?</w:t>
      </w:r>
    </w:p>
    <w:p w:rsidR="00F05AF0" w:rsidRDefault="00F05AF0" w:rsidP="00F05AF0">
      <w:pPr>
        <w:ind w:left="705" w:hanging="705"/>
      </w:pPr>
      <w:r w:rsidRPr="00847712">
        <w:rPr>
          <w:b/>
        </w:rPr>
        <w:t>A 4</w:t>
      </w:r>
      <w:r>
        <w:tab/>
        <w:t>„Keine Panik!“</w:t>
      </w:r>
      <w:r w:rsidR="00847712">
        <w:t>:</w:t>
      </w:r>
      <w:r>
        <w:t xml:space="preserve"> Wie kann ich mit meinen eigenen Ängsten gut umgehen? </w:t>
      </w:r>
    </w:p>
    <w:p w:rsidR="00F05AF0" w:rsidRPr="00F05AF0" w:rsidRDefault="00F05AF0" w:rsidP="00F05AF0">
      <w:pPr>
        <w:ind w:left="705" w:hanging="705"/>
      </w:pPr>
      <w:r w:rsidRPr="00847712">
        <w:rPr>
          <w:b/>
        </w:rPr>
        <w:t>A 5</w:t>
      </w:r>
      <w:r w:rsidRPr="00847712">
        <w:tab/>
        <w:t>„</w:t>
      </w:r>
      <w:proofErr w:type="spellStart"/>
      <w:r w:rsidRPr="00847712">
        <w:t>You´re</w:t>
      </w:r>
      <w:proofErr w:type="spellEnd"/>
      <w:r w:rsidRPr="00847712">
        <w:t xml:space="preserve"> not </w:t>
      </w:r>
      <w:proofErr w:type="spellStart"/>
      <w:r w:rsidRPr="00847712">
        <w:t>alone</w:t>
      </w:r>
      <w:proofErr w:type="spellEnd"/>
      <w:r w:rsidRPr="00847712">
        <w:t>!“</w:t>
      </w:r>
      <w:r w:rsidR="00847712" w:rsidRPr="00847712">
        <w:t>:</w:t>
      </w:r>
      <w:r w:rsidRPr="00847712">
        <w:t xml:space="preserve"> </w:t>
      </w:r>
      <w:r w:rsidRPr="00F05AF0">
        <w:t>Wie und bei wem kann ich mir Unterstützung holen?</w:t>
      </w:r>
    </w:p>
    <w:p w:rsidR="00F05AF0" w:rsidRPr="00F90AC8" w:rsidRDefault="00F05AF0" w:rsidP="00F05AF0">
      <w:pPr>
        <w:ind w:left="705" w:hanging="705"/>
        <w:rPr>
          <w:i/>
          <w:color w:val="9BBB59" w:themeColor="accent3"/>
        </w:rPr>
      </w:pPr>
      <w:r w:rsidRPr="00847712">
        <w:rPr>
          <w:b/>
        </w:rPr>
        <w:t>A 6</w:t>
      </w:r>
      <w:r>
        <w:tab/>
        <w:t>„Gewissensbisse…</w:t>
      </w:r>
      <w:proofErr w:type="gramStart"/>
      <w:r w:rsidR="002D75EA">
        <w:t>!?</w:t>
      </w:r>
      <w:proofErr w:type="gramEnd"/>
      <w:r>
        <w:t>“</w:t>
      </w:r>
      <w:r w:rsidR="00847712">
        <w:t>:</w:t>
      </w:r>
      <w:r>
        <w:t xml:space="preserve"> Wie treffe ich passende Entscheidungen in </w:t>
      </w:r>
      <w:proofErr w:type="spellStart"/>
      <w:r>
        <w:t>Dilemmasituationen</w:t>
      </w:r>
      <w:proofErr w:type="spellEnd"/>
      <w:r>
        <w:t xml:space="preserve"> rund um Sterben, Tod und Trauer?</w:t>
      </w:r>
      <w:r w:rsidR="00F875FA">
        <w:t xml:space="preserve"> </w:t>
      </w:r>
      <w:r w:rsidR="00F875FA" w:rsidRPr="00F90AC8">
        <w:rPr>
          <w:i/>
          <w:color w:val="9BBB59" w:themeColor="accent3"/>
        </w:rPr>
        <w:t>(hierher gehört z. B. die Geschichte vom „mündlichen Liebesbrief“</w:t>
      </w:r>
      <w:r w:rsidR="00F90AC8" w:rsidRPr="00F90AC8">
        <w:rPr>
          <w:i/>
          <w:color w:val="9BBB59" w:themeColor="accent3"/>
        </w:rPr>
        <w:t xml:space="preserve"> und die Frage, ob Bewohnerinnen in die Sterbebegleitung einbezogen werden können</w:t>
      </w:r>
      <w:r w:rsidR="00F875FA" w:rsidRPr="00F90AC8">
        <w:rPr>
          <w:i/>
          <w:color w:val="9BBB59" w:themeColor="accent3"/>
        </w:rPr>
        <w:t>)</w:t>
      </w:r>
    </w:p>
    <w:p w:rsidR="002D75EA" w:rsidRDefault="002D75EA"/>
    <w:p w:rsidR="00F05AF0" w:rsidRDefault="00F05AF0" w:rsidP="00F875FA">
      <w:pPr>
        <w:pStyle w:val="berschrift2"/>
      </w:pPr>
      <w:r>
        <w:t>B</w:t>
      </w:r>
      <w:r>
        <w:tab/>
        <w:t>Sterbenden Menschen beistehen</w:t>
      </w:r>
    </w:p>
    <w:p w:rsidR="00F875FA" w:rsidRDefault="00F875FA" w:rsidP="002D75EA">
      <w:pPr>
        <w:ind w:left="705" w:hanging="705"/>
        <w:rPr>
          <w:color w:val="4F81BD" w:themeColor="accent1"/>
        </w:rPr>
      </w:pPr>
    </w:p>
    <w:p w:rsidR="002D75EA" w:rsidRPr="00F42D41" w:rsidRDefault="002D75EA" w:rsidP="002D75EA">
      <w:pPr>
        <w:ind w:left="705" w:hanging="705"/>
        <w:rPr>
          <w:color w:val="4F81BD" w:themeColor="accent1"/>
        </w:rPr>
      </w:pPr>
      <w:r w:rsidRPr="00847712">
        <w:rPr>
          <w:b/>
          <w:color w:val="4F81BD" w:themeColor="accent1"/>
        </w:rPr>
        <w:t>B 1</w:t>
      </w:r>
      <w:r>
        <w:tab/>
        <w:t xml:space="preserve">Zur (unvergesslichen) Wiederholung: „Der Weg des Sterbens“ </w:t>
      </w:r>
      <w:r w:rsidRPr="00F42D41">
        <w:rPr>
          <w:color w:val="4F81BD" w:themeColor="accent1"/>
        </w:rPr>
        <w:t>(Handlungsprodukt „Kreative Darstellung der Sterbephasen nach E. Kübler-Ross)</w:t>
      </w:r>
    </w:p>
    <w:p w:rsidR="002D75EA" w:rsidRPr="00F42D41" w:rsidRDefault="002D75EA" w:rsidP="002D75EA">
      <w:pPr>
        <w:ind w:left="705" w:hanging="705"/>
        <w:rPr>
          <w:color w:val="4F81BD" w:themeColor="accent1"/>
        </w:rPr>
      </w:pPr>
      <w:r w:rsidRPr="002D75EA">
        <w:t>B 2</w:t>
      </w:r>
      <w:r>
        <w:tab/>
        <w:t xml:space="preserve">„Begleitung auf dem Weg“: Welche </w:t>
      </w:r>
      <w:r w:rsidR="00F42D41">
        <w:t xml:space="preserve">speziellen </w:t>
      </w:r>
      <w:r>
        <w:t>Tipps zur Unterstützung gibt es für die verschiedenen Abschnitte des Sterbe-Wegs?</w:t>
      </w:r>
      <w:r w:rsidR="00F42D41">
        <w:t xml:space="preserve"> </w:t>
      </w:r>
      <w:r w:rsidR="00F42D41" w:rsidRPr="00847712">
        <w:rPr>
          <w:i/>
          <w:color w:val="9BBB59" w:themeColor="accent3"/>
        </w:rPr>
        <w:t>(hierher gehört z. B. die Frage nach dem Umgang mit Todesangst oder mit Depressivität oder mit letzten Wünschen)</w:t>
      </w:r>
      <w:r w:rsidR="00F42D41">
        <w:rPr>
          <w:i/>
        </w:rPr>
        <w:t xml:space="preserve"> </w:t>
      </w:r>
      <w:r w:rsidR="00F42D41" w:rsidRPr="00F42D41">
        <w:rPr>
          <w:color w:val="4F81BD" w:themeColor="accent1"/>
        </w:rPr>
        <w:t>(Handlungsprodukt</w:t>
      </w:r>
      <w:r w:rsidR="00F42D41">
        <w:rPr>
          <w:color w:val="4F81BD" w:themeColor="accent1"/>
        </w:rPr>
        <w:t xml:space="preserve"> z. B.</w:t>
      </w:r>
      <w:r w:rsidR="00F42D41" w:rsidRPr="00F42D41">
        <w:rPr>
          <w:color w:val="4F81BD" w:themeColor="accent1"/>
        </w:rPr>
        <w:t>: „Reiseführer für Pflegekräfte“)</w:t>
      </w:r>
    </w:p>
    <w:p w:rsidR="00F42D41" w:rsidRPr="00847712" w:rsidRDefault="00F42D41" w:rsidP="002D75EA">
      <w:pPr>
        <w:ind w:left="705" w:hanging="705"/>
        <w:rPr>
          <w:color w:val="9BBB59" w:themeColor="accent3"/>
        </w:rPr>
      </w:pPr>
      <w:r>
        <w:t>B 3</w:t>
      </w:r>
      <w:r>
        <w:tab/>
        <w:t>„</w:t>
      </w:r>
      <w:r w:rsidR="00F90AC8">
        <w:t>Was sag ich bloß, wenn…?</w:t>
      </w:r>
      <w:r>
        <w:t xml:space="preserve">“: Wie </w:t>
      </w:r>
      <w:r w:rsidR="00F90AC8">
        <w:t xml:space="preserve">reagiere ich angemessen auf Äußerungen von Menschen in der letzten Lebensphase? </w:t>
      </w:r>
      <w:r w:rsidR="00F90AC8" w:rsidRPr="00847712">
        <w:rPr>
          <w:i/>
          <w:color w:val="9BBB59" w:themeColor="accent3"/>
        </w:rPr>
        <w:t>(unser Beispiel: Was, wenn der sterbende Mensch sagt „Ich will nicht mehr, ich will endlich sterben!“)</w:t>
      </w:r>
    </w:p>
    <w:p w:rsidR="002D75EA" w:rsidRDefault="002D75EA" w:rsidP="002D75EA">
      <w:pPr>
        <w:ind w:left="705" w:hanging="705"/>
      </w:pPr>
      <w:r>
        <w:t>B 3</w:t>
      </w:r>
      <w:r>
        <w:tab/>
        <w:t>„Achtung, Stolperstein“: Auf welche besonderen Bedürfnisse (oder Empfindlichkeiten)   können wir bei der pflegerischen Versorgung in der letzten Lebensphase besonders achten?</w:t>
      </w:r>
    </w:p>
    <w:p w:rsidR="002D75EA" w:rsidRDefault="002D75EA" w:rsidP="002D75EA">
      <w:pPr>
        <w:ind w:left="705" w:hanging="705"/>
      </w:pPr>
      <w:r>
        <w:t>B 4</w:t>
      </w:r>
      <w:r>
        <w:tab/>
        <w:t xml:space="preserve">„Wenn nicht mehr zu machen ist, können wir noch viel tun“: Inwiefern können wir durch </w:t>
      </w:r>
      <w:r w:rsidR="00847712">
        <w:t>kleine (</w:t>
      </w:r>
      <w:r>
        <w:t>pflegerische</w:t>
      </w:r>
      <w:r w:rsidR="00847712">
        <w:t>)</w:t>
      </w:r>
      <w:r>
        <w:t xml:space="preserve"> Maßnahmen die letzten Tage angenehm(er) gestalten?</w:t>
      </w:r>
    </w:p>
    <w:p w:rsidR="002D75EA" w:rsidRDefault="002D75EA" w:rsidP="002D75EA">
      <w:pPr>
        <w:ind w:left="705" w:hanging="705"/>
      </w:pPr>
      <w:r>
        <w:lastRenderedPageBreak/>
        <w:t>B 5</w:t>
      </w:r>
      <w:r>
        <w:tab/>
        <w:t>„Religiosität als Ressource“: Welche Texte und Gebete eignen sich zum Vorlesen am Sterbebett?</w:t>
      </w:r>
      <w:r w:rsidR="00F42D41">
        <w:t xml:space="preserve"> </w:t>
      </w:r>
    </w:p>
    <w:p w:rsidR="00847712" w:rsidRDefault="002D75EA" w:rsidP="002D75EA">
      <w:pPr>
        <w:ind w:left="705" w:hanging="705"/>
      </w:pPr>
      <w:r>
        <w:t>B 6</w:t>
      </w:r>
      <w:r>
        <w:tab/>
        <w:t>„… aber nicht für jeden“: Welche Texte u. ä. eignen sich als Angebot für nichtreligiöse Menschen?</w:t>
      </w:r>
      <w:r w:rsidR="00F42D41">
        <w:t xml:space="preserve"> </w:t>
      </w:r>
    </w:p>
    <w:p w:rsidR="00F42D41" w:rsidRDefault="00F42D41" w:rsidP="002D75EA">
      <w:pPr>
        <w:ind w:left="705" w:hanging="705"/>
      </w:pPr>
      <w:r>
        <w:t>B 7</w:t>
      </w:r>
      <w:r>
        <w:tab/>
        <w:t>„Wenn Religion zum Problem wird“: Was tun, wenn jemand unter „schlechter Theologie“ leidet?</w:t>
      </w:r>
    </w:p>
    <w:p w:rsidR="00847712" w:rsidRDefault="00847712" w:rsidP="00F875FA">
      <w:pPr>
        <w:pStyle w:val="berschrift2"/>
      </w:pPr>
    </w:p>
    <w:p w:rsidR="00F05AF0" w:rsidRDefault="00F05AF0" w:rsidP="00F875FA">
      <w:pPr>
        <w:pStyle w:val="berschrift2"/>
      </w:pPr>
      <w:r>
        <w:t>C</w:t>
      </w:r>
      <w:r>
        <w:tab/>
        <w:t>Verstorbene versorgen</w:t>
      </w:r>
    </w:p>
    <w:p w:rsidR="00F875FA" w:rsidRDefault="00F875FA" w:rsidP="00F875FA">
      <w:pPr>
        <w:ind w:left="705" w:hanging="705"/>
      </w:pPr>
    </w:p>
    <w:p w:rsidR="00F05AF0" w:rsidRDefault="00F875FA" w:rsidP="00F875FA">
      <w:pPr>
        <w:ind w:left="705" w:hanging="705"/>
      </w:pPr>
      <w:r>
        <w:t>C 1</w:t>
      </w:r>
      <w:r>
        <w:tab/>
        <w:t xml:space="preserve">„Wenn ein Mensch gestorben ist…“: Wie versorge ich einen verstorbenen Menschen? Inwiefern beachte ich spezielle  rituelle Gesten </w:t>
      </w:r>
      <w:r w:rsidRPr="00847712">
        <w:rPr>
          <w:i/>
          <w:color w:val="9BBB59" w:themeColor="accent3"/>
        </w:rPr>
        <w:t>(unser Beispiel: Das Fenster öffnen, damit die Seele entweichen kann – Achtung: Schnittmenge zur Frage nach „Kultursensibler Pflege“!)</w:t>
      </w:r>
    </w:p>
    <w:p w:rsidR="00F875FA" w:rsidRDefault="00F875FA" w:rsidP="00F875FA">
      <w:pPr>
        <w:pStyle w:val="berschrift2"/>
      </w:pPr>
    </w:p>
    <w:p w:rsidR="00F05AF0" w:rsidRDefault="00F05AF0" w:rsidP="00F875FA">
      <w:pPr>
        <w:pStyle w:val="berschrift2"/>
      </w:pPr>
      <w:r>
        <w:t>D</w:t>
      </w:r>
      <w:r>
        <w:tab/>
        <w:t>Angehörige begleiten</w:t>
      </w:r>
    </w:p>
    <w:p w:rsidR="00F875FA" w:rsidRDefault="00F875FA"/>
    <w:p w:rsidR="00F875FA" w:rsidRPr="00847712" w:rsidRDefault="00F875FA" w:rsidP="00F875FA">
      <w:pPr>
        <w:ind w:left="705" w:hanging="705"/>
        <w:rPr>
          <w:i/>
          <w:color w:val="9BBB59" w:themeColor="accent3"/>
        </w:rPr>
      </w:pPr>
      <w:r>
        <w:t>D 1</w:t>
      </w:r>
      <w:r>
        <w:tab/>
        <w:t xml:space="preserve">„Mein Beileid!“: Was sage ich, wenn ich Hinterbliebenen begegne? </w:t>
      </w:r>
      <w:r w:rsidRPr="00847712">
        <w:rPr>
          <w:i/>
          <w:color w:val="9BBB59" w:themeColor="accent3"/>
        </w:rPr>
        <w:t>(Ich bin gespannt, welche Alternativen zum Rollenspiel Ihnen hierzu einfallen ;-))</w:t>
      </w:r>
    </w:p>
    <w:p w:rsidR="00F875FA" w:rsidRPr="00F875FA" w:rsidRDefault="00F875FA" w:rsidP="00F875FA">
      <w:pPr>
        <w:ind w:left="705" w:hanging="705"/>
        <w:rPr>
          <w:color w:val="4F81BD" w:themeColor="accent1"/>
        </w:rPr>
      </w:pPr>
      <w:r>
        <w:t>D 2</w:t>
      </w:r>
      <w:r>
        <w:tab/>
        <w:t xml:space="preserve">„In tiefem Mitgefühl“: Wie gestalte ich eine „berührende“ Beileidskarte? </w:t>
      </w:r>
      <w:r w:rsidRPr="00F875FA">
        <w:rPr>
          <w:color w:val="4F81BD" w:themeColor="accent1"/>
        </w:rPr>
        <w:t>(Handlungsprodukt: Trauerkarte gestalten und einen Text schreiben)</w:t>
      </w:r>
    </w:p>
    <w:p w:rsidR="00F875FA" w:rsidRDefault="00F875FA" w:rsidP="00F875FA">
      <w:pPr>
        <w:pStyle w:val="berschrift2"/>
      </w:pPr>
    </w:p>
    <w:p w:rsidR="00F05AF0" w:rsidRDefault="00F05AF0" w:rsidP="00F875FA">
      <w:pPr>
        <w:pStyle w:val="berschrift2"/>
      </w:pPr>
      <w:r>
        <w:t>E</w:t>
      </w:r>
      <w:r>
        <w:tab/>
        <w:t>Die Situation im Betrieb mitgestalten</w:t>
      </w:r>
    </w:p>
    <w:p w:rsidR="00F42D41" w:rsidRPr="00847712" w:rsidRDefault="00F42D41">
      <w:pPr>
        <w:rPr>
          <w:i/>
          <w:color w:val="9BBB59" w:themeColor="accent3"/>
        </w:rPr>
      </w:pPr>
      <w:r>
        <w:t>E 1</w:t>
      </w:r>
      <w:r>
        <w:tab/>
        <w:t xml:space="preserve">Rechercheauftrag: Sterben in meiner Einrichtung </w:t>
      </w:r>
      <w:r w:rsidRPr="00847712">
        <w:rPr>
          <w:i/>
          <w:color w:val="9BBB59" w:themeColor="accent3"/>
        </w:rPr>
        <w:t>(Pflichtaufgabe für alle!)</w:t>
      </w:r>
    </w:p>
    <w:p w:rsidR="00F05AF0" w:rsidRDefault="00F42D41" w:rsidP="00F42D41">
      <w:pPr>
        <w:ind w:left="705" w:hanging="705"/>
      </w:pPr>
      <w:r>
        <w:t>E 2</w:t>
      </w:r>
      <w:r>
        <w:tab/>
        <w:t>„Zusammenhalten!“: Inwiefern kann ich im Blick auf Sterbe- und Trauerbegleitung zu einer günstigen „Teamkultur“ beitragen?</w:t>
      </w:r>
    </w:p>
    <w:p w:rsidR="00F42D41" w:rsidRDefault="00F42D41" w:rsidP="00F42D41">
      <w:pPr>
        <w:ind w:left="705" w:hanging="705"/>
      </w:pPr>
      <w:r>
        <w:t>E 3</w:t>
      </w:r>
      <w:r>
        <w:tab/>
        <w:t xml:space="preserve">„Entscheidungen über letzte Dinge“: Wann, wie, </w:t>
      </w:r>
      <w:r w:rsidR="00847712">
        <w:t xml:space="preserve">ggf. </w:t>
      </w:r>
      <w:r>
        <w:t xml:space="preserve">mit welchen Hilfsmitteln kann ich die Wünsche von </w:t>
      </w:r>
      <w:proofErr w:type="spellStart"/>
      <w:r>
        <w:t>BewohnerInnen</w:t>
      </w:r>
      <w:proofErr w:type="spellEnd"/>
      <w:r>
        <w:t xml:space="preserve"> erfahren, damit sie in der Infosammlung vorliegen, wenn sie benötigt werden? </w:t>
      </w:r>
    </w:p>
    <w:p w:rsidR="00F42D41" w:rsidRDefault="00F42D41" w:rsidP="00F42D41">
      <w:pPr>
        <w:ind w:left="705" w:hanging="705"/>
      </w:pPr>
      <w:r>
        <w:t>E 4</w:t>
      </w:r>
      <w:r>
        <w:tab/>
        <w:t>„Gemeinsam Abschied nehmen“: Wie könnte ein hilfreiches Abschieds-Ritual für uns alle (Pflegekräfte und/oder Bewohner) aussehen?</w:t>
      </w:r>
    </w:p>
    <w:p w:rsidR="00F875FA" w:rsidRDefault="00F875FA"/>
    <w:p w:rsidR="00847712" w:rsidRDefault="00847712" w:rsidP="00F875FA">
      <w:pPr>
        <w:pStyle w:val="berschrift2"/>
      </w:pPr>
    </w:p>
    <w:p w:rsidR="00F05AF0" w:rsidRPr="00F875FA" w:rsidRDefault="00F05AF0" w:rsidP="00F875FA">
      <w:pPr>
        <w:pStyle w:val="berschrift2"/>
      </w:pPr>
      <w:r w:rsidRPr="00F875FA">
        <w:t>F</w:t>
      </w:r>
      <w:r w:rsidRPr="00F875FA">
        <w:tab/>
        <w:t>Kulturelle Aspekte berücksichtigen</w:t>
      </w:r>
    </w:p>
    <w:p w:rsidR="00F875FA" w:rsidRDefault="00F875FA"/>
    <w:p w:rsidR="00F875FA" w:rsidRDefault="00F875FA" w:rsidP="00F90AC8">
      <w:pPr>
        <w:ind w:left="705" w:hanging="705"/>
      </w:pPr>
      <w:r>
        <w:lastRenderedPageBreak/>
        <w:t>F 1</w:t>
      </w:r>
      <w:r>
        <w:tab/>
      </w:r>
      <w:r w:rsidR="00F90AC8">
        <w:t>„Kultur-Knigge“: Was sollte ich beachten, wenn ich einen Menschen aus einer mir fremden Religion/Kultur in der letzten Lebensphase begleite? Wo lauern Fettnäpfchen, wo gibt es Ressourcen?</w:t>
      </w:r>
    </w:p>
    <w:p w:rsidR="00F90AC8" w:rsidRDefault="00F90AC8" w:rsidP="00F90AC8">
      <w:pPr>
        <w:ind w:left="705" w:hanging="705"/>
      </w:pPr>
      <w:r>
        <w:t>F 2</w:t>
      </w:r>
      <w:r>
        <w:tab/>
        <w:t xml:space="preserve">„Versteh mich doch!“: Wie kann ich einen Menschen in einer existentiellen Krise begleiten, </w:t>
      </w:r>
      <w:r w:rsidR="00847712">
        <w:t>obwohl</w:t>
      </w:r>
      <w:r>
        <w:t xml:space="preserve"> wir nicht die gleiche Sprache sprechen?</w:t>
      </w:r>
    </w:p>
    <w:p w:rsidR="00AF5A30" w:rsidRDefault="00AF5A30"/>
    <w:sectPr w:rsidR="00AF5A30" w:rsidSect="00210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F5A30"/>
    <w:rsid w:val="0009270F"/>
    <w:rsid w:val="002100D2"/>
    <w:rsid w:val="002D75EA"/>
    <w:rsid w:val="007F2D50"/>
    <w:rsid w:val="00847712"/>
    <w:rsid w:val="00A43A1A"/>
    <w:rsid w:val="00AF5A30"/>
    <w:rsid w:val="00D96B06"/>
    <w:rsid w:val="00EE675A"/>
    <w:rsid w:val="00F05AF0"/>
    <w:rsid w:val="00F42D41"/>
    <w:rsid w:val="00F875FA"/>
    <w:rsid w:val="00F9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0D2"/>
  </w:style>
  <w:style w:type="paragraph" w:styleId="berschrift1">
    <w:name w:val="heading 1"/>
    <w:basedOn w:val="Standard"/>
    <w:next w:val="Standard"/>
    <w:link w:val="berschrift1Zchn"/>
    <w:uiPriority w:val="9"/>
    <w:qFormat/>
    <w:rsid w:val="002D7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7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75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7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7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75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2A347-0D39-4335-80E8-37128E52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2013-10-27T08:10:00Z</dcterms:created>
  <dcterms:modified xsi:type="dcterms:W3CDTF">2013-10-27T08:10:00Z</dcterms:modified>
</cp:coreProperties>
</file>