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2C" w:rsidRPr="00DB4723" w:rsidRDefault="0086662C" w:rsidP="0086662C">
      <w:pPr>
        <w:spacing w:after="0" w:line="240" w:lineRule="auto"/>
        <w:jc w:val="center"/>
        <w:rPr>
          <w:rFonts w:ascii="Jokerman" w:hAnsi="Jokerman"/>
          <w:sz w:val="144"/>
          <w:lang w:eastAsia="de-DE"/>
        </w:rPr>
      </w:pPr>
      <w:r w:rsidRPr="007B1A7F">
        <w:rPr>
          <w:rFonts w:ascii="Jokerman" w:hAnsi="Jokerman"/>
          <w:color w:val="1F497D"/>
          <w:sz w:val="144"/>
          <w:lang w:eastAsia="de-DE"/>
        </w:rPr>
        <w:t>Unser „Kompass“</w:t>
      </w:r>
    </w:p>
    <w:p w:rsidR="0086662C" w:rsidRDefault="0086662C" w:rsidP="0086662C">
      <w:pPr>
        <w:rPr>
          <w:lang w:eastAsia="de-DE"/>
        </w:rPr>
      </w:pPr>
    </w:p>
    <w:p w:rsidR="0086662C" w:rsidRDefault="0086662C" w:rsidP="0086662C">
      <w:pPr>
        <w:rPr>
          <w:lang w:eastAsia="de-DE"/>
        </w:rPr>
      </w:pPr>
    </w:p>
    <w:p w:rsidR="0086662C" w:rsidRDefault="0086662C" w:rsidP="0086662C">
      <w:pPr>
        <w:jc w:val="center"/>
        <w:rPr>
          <w:lang w:eastAsia="de-DE"/>
        </w:rPr>
      </w:pPr>
      <w:r>
        <w:rPr>
          <w:noProof/>
          <w:lang w:eastAsia="de-DE"/>
        </w:rPr>
        <w:drawing>
          <wp:inline distT="0" distB="0" distL="0" distR="0">
            <wp:extent cx="3810000" cy="2857500"/>
            <wp:effectExtent l="19050" t="0" r="0" b="0"/>
            <wp:docPr id="1" name="Bild 1" descr="C:\Users\Compaq\Pictures\AAA BIlder für Fachseminar\303923_web_R_B_by_Erwin Knorr_pixeli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AAA BIlder für Fachseminar\303923_web_R_B_by_Erwin Knorr_pixelio.de.jpg"/>
                    <pic:cNvPicPr>
                      <a:picLocks noChangeAspect="1" noChangeArrowheads="1"/>
                    </pic:cNvPicPr>
                  </pic:nvPicPr>
                  <pic:blipFill>
                    <a:blip r:embed="rId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86662C" w:rsidRPr="00DB4723" w:rsidRDefault="0086662C" w:rsidP="0086662C">
      <w:pPr>
        <w:jc w:val="center"/>
        <w:rPr>
          <w:rFonts w:ascii="Calibri" w:hAnsi="Calibri"/>
          <w:sz w:val="10"/>
          <w:lang w:eastAsia="de-DE"/>
        </w:rPr>
      </w:pPr>
      <w:r w:rsidRPr="00DB4723">
        <w:rPr>
          <w:rFonts w:ascii="Calibri" w:hAnsi="Calibri"/>
          <w:sz w:val="10"/>
          <w:lang w:eastAsia="de-DE"/>
        </w:rPr>
        <w:t xml:space="preserve">Grafik: </w:t>
      </w:r>
      <w:r>
        <w:rPr>
          <w:rFonts w:ascii="Calibri" w:hAnsi="Calibri"/>
          <w:sz w:val="10"/>
          <w:lang w:eastAsia="de-DE"/>
        </w:rPr>
        <w:t>Erwin Knorr</w:t>
      </w:r>
      <w:r w:rsidRPr="00DB4723">
        <w:rPr>
          <w:rFonts w:ascii="Calibri" w:hAnsi="Calibri"/>
          <w:sz w:val="10"/>
          <w:lang w:eastAsia="de-DE"/>
        </w:rPr>
        <w:t>/pixelio.de</w:t>
      </w:r>
    </w:p>
    <w:p w:rsidR="0086662C" w:rsidRPr="00A313D8" w:rsidRDefault="0086662C" w:rsidP="0086662C">
      <w:pPr>
        <w:jc w:val="center"/>
        <w:rPr>
          <w:rFonts w:ascii="Jokerman" w:hAnsi="Jokerman"/>
          <w:b/>
          <w:color w:val="1F497D" w:themeColor="text2"/>
          <w:sz w:val="72"/>
          <w:lang w:eastAsia="de-DE"/>
        </w:rPr>
      </w:pPr>
      <w:r w:rsidRPr="00A313D8">
        <w:rPr>
          <w:rFonts w:ascii="Jokerman" w:hAnsi="Jokerman"/>
          <w:b/>
          <w:color w:val="1F497D" w:themeColor="text2"/>
          <w:sz w:val="72"/>
          <w:lang w:eastAsia="de-DE"/>
        </w:rPr>
        <w:t>Teil 2</w:t>
      </w:r>
    </w:p>
    <w:p w:rsidR="0086662C" w:rsidRPr="0086662C" w:rsidRDefault="0086662C" w:rsidP="0086662C">
      <w:pPr>
        <w:jc w:val="center"/>
        <w:rPr>
          <w:rFonts w:ascii="Jokerman" w:hAnsi="Jokerman"/>
          <w:b/>
          <w:color w:val="1F497D" w:themeColor="text2"/>
          <w:sz w:val="56"/>
          <w:lang w:eastAsia="de-DE"/>
        </w:rPr>
      </w:pPr>
      <w:r w:rsidRPr="0086662C">
        <w:rPr>
          <w:rFonts w:ascii="Jokerman" w:hAnsi="Jokerman"/>
          <w:b/>
          <w:color w:val="1F497D" w:themeColor="text2"/>
          <w:sz w:val="56"/>
          <w:lang w:eastAsia="de-DE"/>
        </w:rPr>
        <w:t xml:space="preserve">Von den Vorüberlegungen </w:t>
      </w:r>
    </w:p>
    <w:p w:rsidR="0086662C" w:rsidRPr="0086662C" w:rsidRDefault="0086662C" w:rsidP="0086662C">
      <w:pPr>
        <w:jc w:val="center"/>
        <w:rPr>
          <w:rFonts w:ascii="Jokerman" w:hAnsi="Jokerman"/>
          <w:b/>
          <w:color w:val="1F497D" w:themeColor="text2"/>
          <w:sz w:val="56"/>
          <w:lang w:eastAsia="de-DE"/>
        </w:rPr>
      </w:pPr>
      <w:r w:rsidRPr="0086662C">
        <w:rPr>
          <w:rFonts w:ascii="Jokerman" w:hAnsi="Jokerman"/>
          <w:b/>
          <w:color w:val="1F497D" w:themeColor="text2"/>
          <w:sz w:val="56"/>
          <w:lang w:eastAsia="de-DE"/>
        </w:rPr>
        <w:t>zum didaktischen Plan</w:t>
      </w:r>
    </w:p>
    <w:p w:rsidR="00C616B8" w:rsidRPr="00FC653D" w:rsidRDefault="00FC653D" w:rsidP="003B00FB">
      <w:pPr>
        <w:pStyle w:val="berschrift2"/>
        <w:pBdr>
          <w:top w:val="dotted" w:sz="4" w:space="1" w:color="1F497D" w:themeColor="text2"/>
          <w:left w:val="dotted" w:sz="4" w:space="4" w:color="1F497D" w:themeColor="text2"/>
          <w:bottom w:val="dotted" w:sz="4" w:space="1" w:color="1F497D" w:themeColor="text2"/>
          <w:right w:val="dotted" w:sz="4" w:space="4" w:color="1F497D" w:themeColor="text2"/>
        </w:pBdr>
        <w:rPr>
          <w:sz w:val="28"/>
        </w:rPr>
      </w:pPr>
      <w:r>
        <w:rPr>
          <w:noProof/>
          <w:sz w:val="28"/>
          <w:lang w:eastAsia="de-DE"/>
        </w:rPr>
        <w:lastRenderedPageBreak/>
        <w:drawing>
          <wp:anchor distT="0" distB="0" distL="114300" distR="114300" simplePos="0" relativeHeight="251658240" behindDoc="0" locked="0" layoutInCell="1" allowOverlap="1">
            <wp:simplePos x="0" y="0"/>
            <wp:positionH relativeFrom="margin">
              <wp:posOffset>5472430</wp:posOffset>
            </wp:positionH>
            <wp:positionV relativeFrom="margin">
              <wp:align>top</wp:align>
            </wp:positionV>
            <wp:extent cx="628650" cy="476250"/>
            <wp:effectExtent l="19050" t="0" r="0" b="0"/>
            <wp:wrapSquare wrapText="bothSides"/>
            <wp:docPr id="17" name="Bild 1" descr="C:\Users\Compaq\Pictures\Microsoft Clip Organizer\7FC3EF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Pictures\Microsoft Clip Organizer\7FC3EF43.jpg"/>
                    <pic:cNvPicPr>
                      <a:picLocks noChangeAspect="1" noChangeArrowheads="1"/>
                    </pic:cNvPicPr>
                  </pic:nvPicPr>
                  <pic:blipFill>
                    <a:blip r:embed="rId9" cstate="print"/>
                    <a:srcRect/>
                    <a:stretch>
                      <a:fillRect/>
                    </a:stretch>
                  </pic:blipFill>
                  <pic:spPr bwMode="auto">
                    <a:xfrm>
                      <a:off x="0" y="0"/>
                      <a:ext cx="628650" cy="476250"/>
                    </a:xfrm>
                    <a:prstGeom prst="rect">
                      <a:avLst/>
                    </a:prstGeom>
                    <a:noFill/>
                    <a:ln w="9525">
                      <a:noFill/>
                      <a:miter lim="800000"/>
                      <a:headEnd/>
                      <a:tailEnd/>
                    </a:ln>
                  </pic:spPr>
                </pic:pic>
              </a:graphicData>
            </a:graphic>
          </wp:anchor>
        </w:drawing>
      </w:r>
      <w:r w:rsidR="003B00FB" w:rsidRPr="00FC653D">
        <w:rPr>
          <w:sz w:val="28"/>
        </w:rPr>
        <w:t>Von den Vorüberlegungen zum didaktischen (Halbjahres-) Plan</w:t>
      </w:r>
    </w:p>
    <w:p w:rsidR="00EA5F39" w:rsidRDefault="00EA5F39" w:rsidP="00C616B8">
      <w:pPr>
        <w:spacing w:after="0"/>
        <w:rPr>
          <w:b/>
          <w:sz w:val="32"/>
        </w:rPr>
        <w:sectPr w:rsidR="00EA5F39" w:rsidSect="002100D2">
          <w:headerReference w:type="default" r:id="rId10"/>
          <w:footerReference w:type="default" r:id="rId11"/>
          <w:pgSz w:w="11906" w:h="16838"/>
          <w:pgMar w:top="1417" w:right="1417" w:bottom="1134" w:left="1417" w:header="708" w:footer="708" w:gutter="0"/>
          <w:cols w:space="708"/>
          <w:docGrid w:linePitch="360"/>
        </w:sectPr>
      </w:pPr>
    </w:p>
    <w:p w:rsidR="00426ADF" w:rsidRDefault="00426ADF" w:rsidP="00C616B8">
      <w:pPr>
        <w:spacing w:after="0"/>
        <w:rPr>
          <w:b/>
          <w:sz w:val="32"/>
        </w:rPr>
      </w:pPr>
    </w:p>
    <w:p w:rsidR="003B00FB" w:rsidRDefault="003B00FB" w:rsidP="00C616B8">
      <w:pPr>
        <w:spacing w:after="0"/>
        <w:rPr>
          <w:b/>
          <w:sz w:val="28"/>
        </w:rPr>
      </w:pPr>
      <w:r>
        <w:rPr>
          <w:b/>
          <w:sz w:val="28"/>
        </w:rPr>
        <w:t xml:space="preserve">Sie haben inzwischen die wichtigsten Überlegungen zur Unterrichtsplanung angestellt: </w:t>
      </w:r>
    </w:p>
    <w:p w:rsidR="003B00FB" w:rsidRDefault="003B00FB" w:rsidP="00C616B8">
      <w:pPr>
        <w:spacing w:after="0"/>
      </w:pPr>
    </w:p>
    <w:p w:rsidR="003B00FB" w:rsidRDefault="003B00FB" w:rsidP="007D4BBF">
      <w:pPr>
        <w:pStyle w:val="Listenabsatz"/>
        <w:numPr>
          <w:ilvl w:val="0"/>
          <w:numId w:val="19"/>
        </w:numPr>
        <w:spacing w:after="0"/>
      </w:pPr>
      <w:r w:rsidRPr="003B00FB">
        <w:t xml:space="preserve">Mit Blick auf Ihr Konzept und Ihre Lerngruppe </w:t>
      </w:r>
      <w:r>
        <w:t xml:space="preserve">haben Sie </w:t>
      </w:r>
      <w:r w:rsidRPr="003B00FB">
        <w:t>eine  Lernsituation ausgewählt</w:t>
      </w:r>
      <w:r>
        <w:t>.</w:t>
      </w:r>
      <w:r w:rsidRPr="003B00FB">
        <w:t xml:space="preserve"> </w:t>
      </w:r>
    </w:p>
    <w:p w:rsidR="00EA5F39" w:rsidRDefault="003B00FB" w:rsidP="007D4BBF">
      <w:pPr>
        <w:pStyle w:val="Listenabsatz"/>
        <w:numPr>
          <w:ilvl w:val="0"/>
          <w:numId w:val="19"/>
        </w:numPr>
        <w:spacing w:after="0"/>
      </w:pPr>
      <w:r>
        <w:t xml:space="preserve">Sie haben </w:t>
      </w:r>
      <w:r w:rsidRPr="003B00FB">
        <w:t>eine Kernkompetenz bestimmt, die im Verlauf des Lernarrangements weiterentwickelt werden kann</w:t>
      </w:r>
      <w:r>
        <w:t>.</w:t>
      </w:r>
    </w:p>
    <w:p w:rsidR="003B00FB" w:rsidRDefault="003B00FB" w:rsidP="007D4BBF">
      <w:pPr>
        <w:pStyle w:val="Listenabsatz"/>
        <w:numPr>
          <w:ilvl w:val="0"/>
          <w:numId w:val="19"/>
        </w:numPr>
        <w:spacing w:after="0"/>
      </w:pPr>
      <w:r>
        <w:t>Sie haben die Schritte der vollständigen Handlung im Blick auf Ihre Problemstellung gedanklich durchgespielt und dabei viele Ideen entwickelt.</w:t>
      </w:r>
    </w:p>
    <w:p w:rsidR="009C6410" w:rsidRDefault="009C6410" w:rsidP="00C616B8">
      <w:pPr>
        <w:spacing w:after="0"/>
      </w:pPr>
    </w:p>
    <w:p w:rsidR="003B00FB" w:rsidRDefault="003B00FB" w:rsidP="00C616B8">
      <w:pPr>
        <w:spacing w:after="0"/>
      </w:pPr>
      <w:r>
        <w:t>Nun geht es darum, konkrete Entscheidungen zu treffen und Ihre Planung in Form zu bringen.</w:t>
      </w:r>
    </w:p>
    <w:p w:rsidR="003B00FB" w:rsidRPr="003B00FB" w:rsidRDefault="003B00FB" w:rsidP="00C616B8">
      <w:pPr>
        <w:spacing w:after="0"/>
      </w:pPr>
      <w:r>
        <w:t>Dazu bieten wir Ihnen im Studienseminar verschiedene Hilfsmittel an:</w:t>
      </w:r>
    </w:p>
    <w:p w:rsidR="00EA5F39" w:rsidRDefault="00EA5F39" w:rsidP="00C616B8">
      <w:pPr>
        <w:spacing w:after="0"/>
        <w:rPr>
          <w:b/>
          <w:sz w:val="28"/>
        </w:rPr>
      </w:pPr>
    </w:p>
    <w:p w:rsidR="00EA5F39" w:rsidRDefault="003B00FB" w:rsidP="00C616B8">
      <w:pPr>
        <w:spacing w:after="0"/>
        <w:rPr>
          <w:sz w:val="24"/>
        </w:rPr>
      </w:pPr>
      <w:r>
        <w:rPr>
          <w:sz w:val="24"/>
        </w:rPr>
        <w:t xml:space="preserve">Unser </w:t>
      </w:r>
      <w:r w:rsidRPr="007D4BBF">
        <w:rPr>
          <w:b/>
          <w:color w:val="1F497D" w:themeColor="text2"/>
          <w:sz w:val="28"/>
        </w:rPr>
        <w:t>Kompetenzraster</w:t>
      </w:r>
      <w:r>
        <w:rPr>
          <w:sz w:val="24"/>
        </w:rPr>
        <w:t xml:space="preserve"> für den Religionsunterricht bzw. </w:t>
      </w:r>
      <w:r w:rsidR="007D4BBF">
        <w:rPr>
          <w:sz w:val="24"/>
        </w:rPr>
        <w:t xml:space="preserve">für </w:t>
      </w:r>
      <w:r>
        <w:rPr>
          <w:sz w:val="24"/>
        </w:rPr>
        <w:t xml:space="preserve">den Ethikunterricht </w:t>
      </w:r>
      <w:r w:rsidR="007D4BBF">
        <w:rPr>
          <w:sz w:val="24"/>
        </w:rPr>
        <w:t>ermöglicht es Ihnen, für jede Kernkompetenz die Schritte der vollständigen Handlung mit Kompetenzformulierungen zu hinterlegen und passende Methoden und Materialien zuzuordnen. So orientieren Sie sich darüber, was Ihre Lerngruppe jeweils nach einem Schritt auf dem Lernweg können könnte – eine wichtige Grundlage für Ihre Begleitung.</w:t>
      </w:r>
    </w:p>
    <w:p w:rsidR="009C6410" w:rsidRDefault="009C6410" w:rsidP="009C6410">
      <w:pPr>
        <w:spacing w:after="0"/>
        <w:rPr>
          <w:sz w:val="24"/>
        </w:rPr>
      </w:pPr>
    </w:p>
    <w:p w:rsidR="009C6410" w:rsidRDefault="009C6410" w:rsidP="009C6410">
      <w:pPr>
        <w:spacing w:after="0"/>
        <w:rPr>
          <w:sz w:val="24"/>
        </w:rPr>
      </w:pPr>
      <w:r>
        <w:rPr>
          <w:sz w:val="24"/>
        </w:rPr>
        <w:t xml:space="preserve">Die Teilkompetenzen sind ein erster Baustein zum Ausfüllen der </w:t>
      </w:r>
      <w:r w:rsidRPr="007D4BBF">
        <w:rPr>
          <w:b/>
          <w:color w:val="1F497D" w:themeColor="text2"/>
          <w:sz w:val="28"/>
        </w:rPr>
        <w:t>Matrix</w:t>
      </w:r>
      <w:r>
        <w:rPr>
          <w:sz w:val="24"/>
        </w:rPr>
        <w:t xml:space="preserve">, die Ihre </w:t>
      </w:r>
      <w:r w:rsidRPr="007D4BBF">
        <w:rPr>
          <w:b/>
          <w:color w:val="1F497D" w:themeColor="text2"/>
          <w:sz w:val="28"/>
        </w:rPr>
        <w:t>didaktische Planung</w:t>
      </w:r>
      <w:r w:rsidRPr="007D4BBF">
        <w:rPr>
          <w:sz w:val="28"/>
        </w:rPr>
        <w:t xml:space="preserve"> </w:t>
      </w:r>
      <w:r>
        <w:rPr>
          <w:sz w:val="24"/>
        </w:rPr>
        <w:t xml:space="preserve">abbildet. </w:t>
      </w:r>
    </w:p>
    <w:p w:rsidR="009C6410" w:rsidRDefault="009C6410" w:rsidP="009C6410">
      <w:pPr>
        <w:spacing w:after="0"/>
        <w:rPr>
          <w:sz w:val="24"/>
        </w:rPr>
      </w:pPr>
    </w:p>
    <w:p w:rsidR="009C6410" w:rsidRDefault="009C6410" w:rsidP="009C6410">
      <w:pPr>
        <w:spacing w:after="0"/>
        <w:rPr>
          <w:sz w:val="24"/>
        </w:rPr>
      </w:pPr>
    </w:p>
    <w:p w:rsidR="009C6410" w:rsidRDefault="009C6410" w:rsidP="009C6410">
      <w:pPr>
        <w:spacing w:after="0"/>
        <w:rPr>
          <w:sz w:val="24"/>
        </w:rPr>
      </w:pPr>
    </w:p>
    <w:p w:rsidR="0086662C" w:rsidRDefault="0086662C" w:rsidP="009C6410">
      <w:pPr>
        <w:spacing w:after="0"/>
        <w:rPr>
          <w:sz w:val="24"/>
        </w:rPr>
      </w:pPr>
    </w:p>
    <w:p w:rsidR="009C6410" w:rsidRDefault="009C6410" w:rsidP="009C6410">
      <w:pPr>
        <w:spacing w:after="0"/>
        <w:rPr>
          <w:sz w:val="24"/>
        </w:rPr>
      </w:pPr>
      <w:r>
        <w:rPr>
          <w:sz w:val="24"/>
        </w:rPr>
        <w:t>Tragen Sie in die Spalte „Kompetenzen“ bitte sowohl die Kernkompetenz als auch die einzelnen Teilkompetenzen ein und nutzen Sie diese zur Planung und Überprüfung der methodisch-didaktischen Schritte.</w:t>
      </w:r>
    </w:p>
    <w:p w:rsidR="009C6410" w:rsidRPr="003B00FB" w:rsidRDefault="009C6410" w:rsidP="009C6410">
      <w:pPr>
        <w:spacing w:after="0"/>
        <w:rPr>
          <w:sz w:val="24"/>
        </w:rPr>
      </w:pPr>
      <w:r>
        <w:rPr>
          <w:sz w:val="24"/>
        </w:rPr>
        <w:t>Wie die übrigen Spalten auszufüllen sind, besprechen wir beim Planungsworkshop anhand eines Beispiels.</w:t>
      </w:r>
    </w:p>
    <w:p w:rsidR="007D4BBF" w:rsidRDefault="007D4BBF" w:rsidP="00C616B8">
      <w:pPr>
        <w:spacing w:after="0"/>
        <w:rPr>
          <w:sz w:val="24"/>
        </w:rPr>
      </w:pPr>
    </w:p>
    <w:p w:rsidR="007D4BBF" w:rsidRDefault="007D4BBF" w:rsidP="00C616B8">
      <w:pPr>
        <w:spacing w:after="0"/>
        <w:rPr>
          <w:sz w:val="24"/>
        </w:rPr>
      </w:pPr>
      <w:r>
        <w:rPr>
          <w:sz w:val="24"/>
        </w:rPr>
        <w:t xml:space="preserve">Als speziellen Service haben wir für Sie </w:t>
      </w:r>
      <w:r w:rsidRPr="007D4BBF">
        <w:rPr>
          <w:b/>
          <w:color w:val="1F497D" w:themeColor="text2"/>
          <w:sz w:val="28"/>
        </w:rPr>
        <w:t>Übersichtsblätter zu den einzelnen Kernkompetenzen</w:t>
      </w:r>
      <w:r>
        <w:rPr>
          <w:sz w:val="24"/>
        </w:rPr>
        <w:t xml:space="preserve"> vorbereitet. </w:t>
      </w:r>
      <w:r w:rsidR="009C6410">
        <w:rPr>
          <w:sz w:val="24"/>
        </w:rPr>
        <w:t xml:space="preserve">Auf diesen Seiten </w:t>
      </w:r>
      <w:r>
        <w:rPr>
          <w:sz w:val="24"/>
        </w:rPr>
        <w:t xml:space="preserve">können Sie sich Notizen zu Lernsituationen und Unterrichtsideen machen. Die ausgefüllten Raster können wir untereinander </w:t>
      </w:r>
      <w:r w:rsidR="00FC653D">
        <w:rPr>
          <w:sz w:val="24"/>
        </w:rPr>
        <w:t xml:space="preserve">(digital) </w:t>
      </w:r>
      <w:r>
        <w:rPr>
          <w:sz w:val="24"/>
        </w:rPr>
        <w:t>austauschen und uns so gemeinsam einen Fundus an Unterrichtsideen zusammenstellen. Ein erstes Musterexemplar</w:t>
      </w:r>
      <w:r w:rsidR="00FC653D">
        <w:rPr>
          <w:sz w:val="24"/>
        </w:rPr>
        <w:t xml:space="preserve">, </w:t>
      </w:r>
      <w:r>
        <w:rPr>
          <w:sz w:val="24"/>
        </w:rPr>
        <w:t>z. B. als Kopiervorlage</w:t>
      </w:r>
      <w:r w:rsidR="00FC653D">
        <w:rPr>
          <w:sz w:val="24"/>
        </w:rPr>
        <w:t>,</w:t>
      </w:r>
      <w:r>
        <w:rPr>
          <w:sz w:val="24"/>
        </w:rPr>
        <w:t xml:space="preserve"> finden Sie im Anhang, weitere können Sie der Dropbox oder dem Showcase entnehmen.</w:t>
      </w:r>
    </w:p>
    <w:p w:rsidR="007D4BBF" w:rsidRDefault="007D4BBF" w:rsidP="00C616B8">
      <w:pPr>
        <w:spacing w:after="0"/>
        <w:rPr>
          <w:sz w:val="24"/>
        </w:rPr>
      </w:pPr>
    </w:p>
    <w:p w:rsidR="009C6410" w:rsidRDefault="009C6410" w:rsidP="00C616B8">
      <w:pPr>
        <w:spacing w:after="0"/>
        <w:rPr>
          <w:sz w:val="24"/>
        </w:rPr>
      </w:pPr>
      <w:r>
        <w:rPr>
          <w:sz w:val="24"/>
        </w:rPr>
        <w:t xml:space="preserve">Im Fach Ethik wächst so bereits ein </w:t>
      </w:r>
      <w:r w:rsidRPr="009C6410">
        <w:rPr>
          <w:b/>
          <w:color w:val="1F497D" w:themeColor="text2"/>
          <w:sz w:val="28"/>
        </w:rPr>
        <w:t>Materialpool,</w:t>
      </w:r>
      <w:r>
        <w:rPr>
          <w:sz w:val="24"/>
        </w:rPr>
        <w:t xml:space="preserve"> der sich an einem gemeinsam entwickelten </w:t>
      </w:r>
      <w:r w:rsidRPr="009C6410">
        <w:rPr>
          <w:b/>
          <w:color w:val="1F497D" w:themeColor="text2"/>
          <w:sz w:val="28"/>
        </w:rPr>
        <w:t xml:space="preserve">Arbeitsplan </w:t>
      </w:r>
      <w:r>
        <w:rPr>
          <w:sz w:val="24"/>
        </w:rPr>
        <w:t xml:space="preserve">orientiert. Den aktuellen Stand </w:t>
      </w:r>
      <w:r w:rsidR="00FC653D">
        <w:rPr>
          <w:sz w:val="24"/>
        </w:rPr>
        <w:t xml:space="preserve">dieses Projekts </w:t>
      </w:r>
      <w:r>
        <w:rPr>
          <w:sz w:val="24"/>
        </w:rPr>
        <w:t xml:space="preserve">finden Sie ebenfalls im Anhang. Zu dieser Übersicht gibt es einen Dropboxordner, in dem wir gemeinsam Materialien (z. B. Unterrichtsskizzen auf den erwähnten Übersichtsblättern) sammeln. Daran dürfen Sie sich gern beteiligen. </w:t>
      </w:r>
    </w:p>
    <w:p w:rsidR="009C6410" w:rsidRDefault="009C6410" w:rsidP="00FC653D">
      <w:pPr>
        <w:pBdr>
          <w:top w:val="single" w:sz="4" w:space="1" w:color="auto"/>
        </w:pBdr>
        <w:spacing w:after="0"/>
        <w:jc w:val="right"/>
        <w:rPr>
          <w:sz w:val="16"/>
        </w:rPr>
      </w:pPr>
      <w:r w:rsidRPr="009C6410">
        <w:rPr>
          <w:b/>
          <w:sz w:val="16"/>
        </w:rPr>
        <w:t>Anhang</w:t>
      </w:r>
      <w:r w:rsidRPr="009C6410">
        <w:rPr>
          <w:sz w:val="16"/>
        </w:rPr>
        <w:t>:</w:t>
      </w:r>
      <w:r>
        <w:rPr>
          <w:sz w:val="16"/>
        </w:rPr>
        <w:t xml:space="preserve"> </w:t>
      </w:r>
    </w:p>
    <w:p w:rsidR="009C6410" w:rsidRDefault="009C6410" w:rsidP="00FC653D">
      <w:pPr>
        <w:pBdr>
          <w:top w:val="single" w:sz="4" w:space="1" w:color="auto"/>
        </w:pBdr>
        <w:spacing w:after="0"/>
        <w:jc w:val="right"/>
        <w:rPr>
          <w:sz w:val="16"/>
        </w:rPr>
      </w:pPr>
      <w:r>
        <w:rPr>
          <w:sz w:val="16"/>
        </w:rPr>
        <w:t>Kompetenzraster Religion oder Ethik</w:t>
      </w:r>
    </w:p>
    <w:p w:rsidR="009C6410" w:rsidRDefault="009C6410" w:rsidP="00FC653D">
      <w:pPr>
        <w:pBdr>
          <w:top w:val="single" w:sz="4" w:space="1" w:color="auto"/>
        </w:pBdr>
        <w:spacing w:after="0"/>
        <w:jc w:val="right"/>
        <w:rPr>
          <w:sz w:val="16"/>
        </w:rPr>
      </w:pPr>
      <w:r>
        <w:rPr>
          <w:sz w:val="16"/>
        </w:rPr>
        <w:t>Matrix zur didaktischen Planung</w:t>
      </w:r>
    </w:p>
    <w:p w:rsidR="00FC653D" w:rsidRDefault="00FC653D" w:rsidP="00FC653D">
      <w:pPr>
        <w:pBdr>
          <w:top w:val="single" w:sz="4" w:space="1" w:color="auto"/>
        </w:pBdr>
        <w:spacing w:after="0"/>
        <w:jc w:val="right"/>
        <w:rPr>
          <w:sz w:val="16"/>
        </w:rPr>
      </w:pPr>
      <w:r>
        <w:rPr>
          <w:sz w:val="16"/>
        </w:rPr>
        <w:t>Übersichtsblätter für Unterrichtsskizzen</w:t>
      </w:r>
    </w:p>
    <w:p w:rsidR="00EA5F39" w:rsidRDefault="009C6410" w:rsidP="00FC653D">
      <w:pPr>
        <w:pBdr>
          <w:top w:val="single" w:sz="4" w:space="1" w:color="auto"/>
        </w:pBdr>
        <w:spacing w:after="0"/>
        <w:jc w:val="right"/>
        <w:rPr>
          <w:b/>
          <w:sz w:val="28"/>
        </w:rPr>
      </w:pPr>
      <w:r>
        <w:rPr>
          <w:sz w:val="16"/>
        </w:rPr>
        <w:t>Arbeitsplan</w:t>
      </w:r>
      <w:r w:rsidR="00FC653D">
        <w:rPr>
          <w:sz w:val="16"/>
        </w:rPr>
        <w:t xml:space="preserve"> für das Fach Ethik </w:t>
      </w:r>
      <w:r>
        <w:rPr>
          <w:sz w:val="16"/>
        </w:rPr>
        <w:t xml:space="preserve"> (aktueller Stand)</w:t>
      </w:r>
    </w:p>
    <w:sectPr w:rsidR="00EA5F39" w:rsidSect="00EA5F39">
      <w:type w:val="continuous"/>
      <w:pgSz w:w="11906" w:h="16838"/>
      <w:pgMar w:top="1417" w:right="1417" w:bottom="1134"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087" w:rsidRDefault="00524087" w:rsidP="00C616B8">
      <w:pPr>
        <w:spacing w:after="0" w:line="240" w:lineRule="auto"/>
      </w:pPr>
      <w:r>
        <w:separator/>
      </w:r>
    </w:p>
  </w:endnote>
  <w:endnote w:type="continuationSeparator" w:id="0">
    <w:p w:rsidR="00524087" w:rsidRDefault="00524087" w:rsidP="00C61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2624"/>
      <w:docPartObj>
        <w:docPartGallery w:val="Page Numbers (Bottom of Page)"/>
        <w:docPartUnique/>
      </w:docPartObj>
    </w:sdtPr>
    <w:sdtContent>
      <w:p w:rsidR="00C616B8" w:rsidRPr="00C616B8" w:rsidRDefault="005C431E" w:rsidP="00C616B8">
        <w:pPr>
          <w:pStyle w:val="Fuzeile"/>
          <w:jc w:val="center"/>
          <w:rPr>
            <w:lang w:val="en-US"/>
          </w:rPr>
        </w:pPr>
        <w:r w:rsidRPr="005C431E">
          <w:rPr>
            <w:b/>
            <w:noProof/>
            <w:color w:val="1F497D" w:themeColor="text2"/>
            <w:lang w:eastAsia="zh-TW"/>
          </w:rPr>
          <w:pict>
            <v:group id="_x0000_s1027" style="position:absolute;left:0;text-align:left;margin-left:0;margin-top:0;width:611.15pt;height:15pt;z-index:25166336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8" type="#_x0000_t202" style="position:absolute;left:10803;top:14982;width:659;height:288" filled="f" stroked="f">
                <v:textbox style="mso-next-textbox:#_x0000_s1028" inset="0,0,0,0">
                  <w:txbxContent>
                    <w:p w:rsidR="00C616B8" w:rsidRDefault="005C431E">
                      <w:pPr>
                        <w:jc w:val="center"/>
                      </w:pPr>
                      <w:fldSimple w:instr=" PAGE    \* MERGEFORMAT ">
                        <w:r w:rsidR="008D009F" w:rsidRPr="008D009F">
                          <w:rPr>
                            <w:noProof/>
                            <w:color w:val="8C8C8C" w:themeColor="background1" w:themeShade="8C"/>
                          </w:rPr>
                          <w:t>1</w:t>
                        </w:r>
                      </w:fldSimple>
                    </w:p>
                  </w:txbxContent>
                </v:textbox>
              </v:shape>
              <v:group id="_x0000_s1029"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8;top:14978;width:1260;height:230;flip:y" o:connectortype="elbow" adj=",1024457,257" strokecolor="#a5a5a5 [2092]"/>
                <v:shape id="_x0000_s1031" type="#_x0000_t34" style="position:absolute;left:1252;top:14978;width:10995;height:230;rotation:180" o:connectortype="elbow" adj="20904,-1024457,-24046" strokecolor="#a5a5a5 [2092]"/>
              </v:group>
              <w10:wrap anchorx="page" anchory="page"/>
            </v:group>
          </w:pict>
        </w:r>
        <w:r w:rsidR="00C616B8" w:rsidRPr="00345579">
          <w:rPr>
            <w:b/>
            <w:color w:val="1F497D" w:themeColor="text2"/>
            <w:lang w:val="en-US"/>
          </w:rPr>
          <w:t>CC BY</w:t>
        </w:r>
        <w:r w:rsidR="00C616B8" w:rsidRPr="00C616B8">
          <w:rPr>
            <w:lang w:val="en-US"/>
          </w:rPr>
          <w:t xml:space="preserve"> Christoph Weidinger-Vandirk &amp; Marion Holzhüter 12/2013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087" w:rsidRDefault="00524087" w:rsidP="00C616B8">
      <w:pPr>
        <w:spacing w:after="0" w:line="240" w:lineRule="auto"/>
      </w:pPr>
      <w:r>
        <w:separator/>
      </w:r>
    </w:p>
  </w:footnote>
  <w:footnote w:type="continuationSeparator" w:id="0">
    <w:p w:rsidR="00524087" w:rsidRDefault="00524087" w:rsidP="00C61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B8" w:rsidRDefault="005C431E">
    <w:pPr>
      <w:pStyle w:val="Kopfzeile"/>
    </w:pPr>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33.6pt;width:497.85pt;height:19.55pt;z-index:251661312;mso-position-horizontal-relative:margin;mso-position-vertical-relative:top-margin-area;mso-width-relative:margin;v-text-anchor:middle" o:allowincell="f" filled="f" stroked="f">
          <v:textbox style="mso-next-textbox:#_x0000_s1026;mso-fit-shape-to-text:t" inset=",0,,0">
            <w:txbxContent>
              <w:sdt>
                <w:sdtPr>
                  <w:rPr>
                    <w:sz w:val="16"/>
                  </w:rPr>
                  <w:alias w:val="Titel"/>
                  <w:id w:val="42234682"/>
                  <w:dataBinding w:prefixMappings="xmlns:ns0='http://schemas.openxmlformats.org/package/2006/metadata/core-properties' xmlns:ns1='http://purl.org/dc/elements/1.1/'" w:xpath="/ns0:coreProperties[1]/ns1:title[1]" w:storeItemID="{6C3C8BC8-F283-45AE-878A-BAB7291924A1}"/>
                  <w:text/>
                </w:sdtPr>
                <w:sdtContent>
                  <w:p w:rsidR="00C616B8" w:rsidRDefault="00C616B8">
                    <w:pPr>
                      <w:spacing w:after="0" w:line="240" w:lineRule="auto"/>
                    </w:pPr>
                    <w:r w:rsidRPr="00C616B8">
                      <w:rPr>
                        <w:sz w:val="16"/>
                      </w:rPr>
                      <w:t xml:space="preserve">Annäherungen an den Unterricht für die Fächer Religion und Ethik an BBS </w:t>
                    </w:r>
                    <w:r w:rsidR="003B00FB">
                      <w:rPr>
                        <w:sz w:val="16"/>
                      </w:rPr>
                      <w:t>(4</w:t>
                    </w:r>
                    <w:r w:rsidR="00EB7BC6">
                      <w:rPr>
                        <w:sz w:val="16"/>
                      </w:rPr>
                      <w:t xml:space="preserve">) </w:t>
                    </w:r>
                    <w:r w:rsidRPr="00C616B8">
                      <w:rPr>
                        <w:sz w:val="16"/>
                      </w:rPr>
                      <w:t>--- Fachseminar Religion und Ethik am Studienseminar Neuwied</w:t>
                    </w:r>
                  </w:p>
                </w:sdtContent>
              </w:sdt>
            </w:txbxContent>
          </v:textbox>
          <w10:wrap anchorx="margin" anchory="margin"/>
        </v:shape>
      </w:pict>
    </w:r>
    <w:r>
      <w:rPr>
        <w:noProof/>
        <w:lang w:eastAsia="zh-TW"/>
      </w:rPr>
      <w:pict>
        <v:shape id="_x0000_s1025"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1025;mso-fit-shape-to-text:t" inset=",0,,0">
            <w:txbxContent>
              <w:p w:rsidR="00C616B8" w:rsidRDefault="005C431E">
                <w:pPr>
                  <w:spacing w:after="0" w:line="240" w:lineRule="auto"/>
                  <w:jc w:val="right"/>
                  <w:rPr>
                    <w:color w:val="FFFFFF" w:themeColor="background1"/>
                  </w:rPr>
                </w:pPr>
                <w:fldSimple w:instr=" PAGE   \* MERGEFORMAT ">
                  <w:r w:rsidR="008D009F" w:rsidRPr="008D009F">
                    <w:rPr>
                      <w:noProof/>
                      <w:color w:val="FFFFFF" w:themeColor="background1"/>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0590"/>
    <w:multiLevelType w:val="hybridMultilevel"/>
    <w:tmpl w:val="2EB66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1C111F"/>
    <w:multiLevelType w:val="hybridMultilevel"/>
    <w:tmpl w:val="EEE8ED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D9414A9"/>
    <w:multiLevelType w:val="hybridMultilevel"/>
    <w:tmpl w:val="B3F8A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212329"/>
    <w:multiLevelType w:val="hybridMultilevel"/>
    <w:tmpl w:val="A9C0C53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6254358"/>
    <w:multiLevelType w:val="hybridMultilevel"/>
    <w:tmpl w:val="97A4F6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DE35510"/>
    <w:multiLevelType w:val="hybridMultilevel"/>
    <w:tmpl w:val="30D85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C74299"/>
    <w:multiLevelType w:val="hybridMultilevel"/>
    <w:tmpl w:val="9CD66216"/>
    <w:lvl w:ilvl="0" w:tplc="33849DCA">
      <w:start w:val="26"/>
      <w:numFmt w:val="bullet"/>
      <w:lvlText w:val=""/>
      <w:lvlJc w:val="left"/>
      <w:pPr>
        <w:ind w:left="360" w:hanging="360"/>
      </w:pPr>
      <w:rPr>
        <w:rFonts w:ascii="Wingdings" w:eastAsiaTheme="minorHAnsi" w:hAnsi="Wingdings" w:cstheme="minorBidi"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4005EEF"/>
    <w:multiLevelType w:val="hybridMultilevel"/>
    <w:tmpl w:val="8F1A5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C638CA"/>
    <w:multiLevelType w:val="hybridMultilevel"/>
    <w:tmpl w:val="BE78B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950617"/>
    <w:multiLevelType w:val="hybridMultilevel"/>
    <w:tmpl w:val="C46A99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16326F6"/>
    <w:multiLevelType w:val="hybridMultilevel"/>
    <w:tmpl w:val="EADA3338"/>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662699B"/>
    <w:multiLevelType w:val="hybridMultilevel"/>
    <w:tmpl w:val="CC6CDDD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46CB0E0E"/>
    <w:multiLevelType w:val="hybridMultilevel"/>
    <w:tmpl w:val="B4C2ED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0A100B4"/>
    <w:multiLevelType w:val="hybridMultilevel"/>
    <w:tmpl w:val="F7B68F5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93F0545"/>
    <w:multiLevelType w:val="hybridMultilevel"/>
    <w:tmpl w:val="B0FA1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E522D37"/>
    <w:multiLevelType w:val="hybridMultilevel"/>
    <w:tmpl w:val="A878A82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8485588"/>
    <w:multiLevelType w:val="hybridMultilevel"/>
    <w:tmpl w:val="342E5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8596138"/>
    <w:multiLevelType w:val="hybridMultilevel"/>
    <w:tmpl w:val="DCA2AF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A54418C"/>
    <w:multiLevelType w:val="hybridMultilevel"/>
    <w:tmpl w:val="C36A2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11"/>
  </w:num>
  <w:num w:numId="6">
    <w:abstractNumId w:val="4"/>
  </w:num>
  <w:num w:numId="7">
    <w:abstractNumId w:val="8"/>
  </w:num>
  <w:num w:numId="8">
    <w:abstractNumId w:val="10"/>
  </w:num>
  <w:num w:numId="9">
    <w:abstractNumId w:val="15"/>
  </w:num>
  <w:num w:numId="10">
    <w:abstractNumId w:val="16"/>
  </w:num>
  <w:num w:numId="11">
    <w:abstractNumId w:val="5"/>
  </w:num>
  <w:num w:numId="12">
    <w:abstractNumId w:val="1"/>
  </w:num>
  <w:num w:numId="13">
    <w:abstractNumId w:val="12"/>
  </w:num>
  <w:num w:numId="14">
    <w:abstractNumId w:val="14"/>
  </w:num>
  <w:num w:numId="15">
    <w:abstractNumId w:val="2"/>
  </w:num>
  <w:num w:numId="16">
    <w:abstractNumId w:val="0"/>
  </w:num>
  <w:num w:numId="17">
    <w:abstractNumId w:val="17"/>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1"/>
      <o:rules v:ext="edit">
        <o:r id="V:Rule3" type="connector" idref="#_x0000_s1030"/>
        <o:r id="V:Rule4" type="connector" idref="#_x0000_s1031"/>
      </o:rules>
    </o:shapelayout>
  </w:hdrShapeDefaults>
  <w:footnotePr>
    <w:footnote w:id="-1"/>
    <w:footnote w:id="0"/>
  </w:footnotePr>
  <w:endnotePr>
    <w:endnote w:id="-1"/>
    <w:endnote w:id="0"/>
  </w:endnotePr>
  <w:compat/>
  <w:rsids>
    <w:rsidRoot w:val="00C616B8"/>
    <w:rsid w:val="000C4390"/>
    <w:rsid w:val="001B1EE3"/>
    <w:rsid w:val="002100D2"/>
    <w:rsid w:val="002C5208"/>
    <w:rsid w:val="002D0D90"/>
    <w:rsid w:val="00337F57"/>
    <w:rsid w:val="00345579"/>
    <w:rsid w:val="003B00FB"/>
    <w:rsid w:val="003B3B31"/>
    <w:rsid w:val="003B5C43"/>
    <w:rsid w:val="00426ADF"/>
    <w:rsid w:val="00446AC8"/>
    <w:rsid w:val="00454C24"/>
    <w:rsid w:val="00524087"/>
    <w:rsid w:val="005414BB"/>
    <w:rsid w:val="005C431E"/>
    <w:rsid w:val="005D2485"/>
    <w:rsid w:val="00622493"/>
    <w:rsid w:val="007A65E9"/>
    <w:rsid w:val="007D4BBF"/>
    <w:rsid w:val="007F2D50"/>
    <w:rsid w:val="00846B1B"/>
    <w:rsid w:val="0086662C"/>
    <w:rsid w:val="008C5454"/>
    <w:rsid w:val="008D009F"/>
    <w:rsid w:val="00944AA8"/>
    <w:rsid w:val="00974EDC"/>
    <w:rsid w:val="009810D0"/>
    <w:rsid w:val="009C6410"/>
    <w:rsid w:val="00A43A1A"/>
    <w:rsid w:val="00A857C1"/>
    <w:rsid w:val="00B439D0"/>
    <w:rsid w:val="00B43CAD"/>
    <w:rsid w:val="00BC0B49"/>
    <w:rsid w:val="00C13613"/>
    <w:rsid w:val="00C616B8"/>
    <w:rsid w:val="00D30FDD"/>
    <w:rsid w:val="00D948D0"/>
    <w:rsid w:val="00E3524C"/>
    <w:rsid w:val="00EA5F39"/>
    <w:rsid w:val="00EB3EB4"/>
    <w:rsid w:val="00EB7BC6"/>
    <w:rsid w:val="00FC65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16B8"/>
  </w:style>
  <w:style w:type="paragraph" w:styleId="berschrift2">
    <w:name w:val="heading 2"/>
    <w:basedOn w:val="Standard"/>
    <w:next w:val="Standard"/>
    <w:link w:val="berschrift2Zchn"/>
    <w:uiPriority w:val="9"/>
    <w:unhideWhenUsed/>
    <w:qFormat/>
    <w:rsid w:val="00C61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616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616B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616B8"/>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C616B8"/>
    <w:pPr>
      <w:ind w:left="720"/>
      <w:contextualSpacing/>
    </w:pPr>
  </w:style>
  <w:style w:type="paragraph" w:styleId="Kopfzeile">
    <w:name w:val="header"/>
    <w:basedOn w:val="Standard"/>
    <w:link w:val="KopfzeileZchn"/>
    <w:uiPriority w:val="99"/>
    <w:unhideWhenUsed/>
    <w:rsid w:val="00C61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16B8"/>
  </w:style>
  <w:style w:type="paragraph" w:styleId="Fuzeile">
    <w:name w:val="footer"/>
    <w:basedOn w:val="Standard"/>
    <w:link w:val="FuzeileZchn"/>
    <w:uiPriority w:val="99"/>
    <w:semiHidden/>
    <w:unhideWhenUsed/>
    <w:rsid w:val="00C616B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616B8"/>
  </w:style>
  <w:style w:type="paragraph" w:styleId="Sprechblasentext">
    <w:name w:val="Balloon Text"/>
    <w:basedOn w:val="Standard"/>
    <w:link w:val="SprechblasentextZchn"/>
    <w:uiPriority w:val="99"/>
    <w:semiHidden/>
    <w:unhideWhenUsed/>
    <w:rsid w:val="00C616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6B8"/>
    <w:rPr>
      <w:rFonts w:ascii="Tahoma" w:hAnsi="Tahoma" w:cs="Tahoma"/>
      <w:sz w:val="16"/>
      <w:szCs w:val="16"/>
    </w:rPr>
  </w:style>
  <w:style w:type="paragraph" w:styleId="KeinLeerraum">
    <w:name w:val="No Spacing"/>
    <w:link w:val="KeinLeerraumZchn"/>
    <w:uiPriority w:val="1"/>
    <w:qFormat/>
    <w:rsid w:val="00C616B8"/>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C616B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56A40-33A3-4754-9854-A95CFD83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Annäherungen an den Unterricht für die Fächer Religion und Ethik an BBS (3) --- Fachseminar Religion und Ethik am Studienseminar Neuwied</vt:lpstr>
    </vt:vector>
  </TitlesOfParts>
  <Company>HP</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Annäherungen an den Unterricht für die Fächer Religion und Ethik an BBS (4) --- Fachseminar Religion und Ethik am Studienseminar Neuwied</dc:title>
  <dc:creator>Compaq</dc:creator>
  <cp:lastModifiedBy>Compaq</cp:lastModifiedBy>
  <cp:revision>2</cp:revision>
  <cp:lastPrinted>2013-12-16T19:43:00Z</cp:lastPrinted>
  <dcterms:created xsi:type="dcterms:W3CDTF">2013-12-16T20:29:00Z</dcterms:created>
  <dcterms:modified xsi:type="dcterms:W3CDTF">2013-12-16T20:29:00Z</dcterms:modified>
</cp:coreProperties>
</file>